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70" w:right="366.6141732283466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836407" cy="43805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6407" cy="4380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7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7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7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7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120"/>
        <w:rPr>
          <w:rFonts w:ascii="Cambria" w:cs="Cambria" w:eastAsia="Cambria" w:hAnsi="Cambria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f1115"/>
          <w:sz w:val="24"/>
          <w:szCs w:val="24"/>
          <w:highlight w:val="white"/>
          <w:rtl w:val="0"/>
        </w:rPr>
        <w:t xml:space="preserve">ATLANTIC LOW ASH GAS ENGINE OIL SAE 40 </w:t>
      </w:r>
    </w:p>
    <w:p w:rsidR="00000000" w:rsidDel="00000000" w:rsidP="00000000" w:rsidRDefault="00000000" w:rsidRPr="00000000" w14:paraId="00000007">
      <w:pPr>
        <w:pStyle w:val="Title"/>
        <w:ind w:firstLine="120"/>
        <w:rPr>
          <w:rFonts w:ascii="Cambria" w:cs="Cambria" w:eastAsia="Cambria" w:hAnsi="Cambria"/>
          <w:i w:val="1"/>
          <w:i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f1115"/>
          <w:sz w:val="20"/>
          <w:szCs w:val="20"/>
          <w:highlight w:val="white"/>
          <w:rtl w:val="0"/>
        </w:rPr>
        <w:t xml:space="preserve">(Масло для газовых двигателей)</w:t>
      </w:r>
      <w:r w:rsidDel="00000000" w:rsidR="00000000" w:rsidRPr="00000000">
        <w:rPr>
          <w:rFonts w:ascii="Cambria" w:cs="Cambria" w:eastAsia="Cambria" w:hAnsi="Cambria"/>
          <w:i w:val="0"/>
          <w:iCs w:val="0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2060"/>
          <w:sz w:val="18"/>
          <w:szCs w:val="18"/>
          <w:u w:val="none"/>
          <w:shd w:fill="auto" w:val="clear"/>
          <w:vertAlign w:val="baseline"/>
          <w:rtl w:val="0"/>
        </w:rPr>
        <w:t xml:space="preserve">ОПИСАНИЕ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508.34645669291376" w:firstLine="0"/>
        <w:jc w:val="left"/>
        <w:rPr>
          <w:color w:val="0f1115"/>
          <w:sz w:val="20"/>
          <w:szCs w:val="20"/>
          <w:highlight w:val="white"/>
        </w:rPr>
      </w:pPr>
      <w:r w:rsidDel="00000000" w:rsidR="00000000" w:rsidRPr="00000000">
        <w:rPr>
          <w:color w:val="0f1115"/>
          <w:sz w:val="20"/>
          <w:szCs w:val="20"/>
          <w:highlight w:val="white"/>
          <w:rtl w:val="0"/>
        </w:rPr>
        <w:t xml:space="preserve">ATLANTIC LOW ASH GAS ENGINE OIL SAE 40 — это современное высококачественное премиальное моторное масло с низким содержанием золы, обладающее диспергирующими/ моющими свойствами.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color w:val="0f111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2060"/>
          <w:sz w:val="18"/>
          <w:szCs w:val="18"/>
          <w:u w:val="none"/>
          <w:shd w:fill="auto" w:val="clear"/>
          <w:vertAlign w:val="baseline"/>
          <w:rtl w:val="0"/>
        </w:rPr>
        <w:t xml:space="preserve">ПРИМЕНЕНИЕ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color w:val="0f1115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ATLANTIC LOW ASH GAS ENGINE OIL SAE 40 обеспечивает следующие преимущества: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Низким затратам на техническое обслуживание и длительному сроку службы двигателя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Низкому износу — обеспечивает превосходную защиту от задиров, царапин и износа поршней, колец и гильз цилиндров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Защите клапанов —  уровень и тип золообразующих присадок в маслах обеспечивают минимальное отслоение клапанов и низкий уровень отложений в камере сгорания, что минимизирует вероятность преждевременного воспламенения и загрязнения свечей зажигания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Очистка поршней — обеспечивает чистоту поршней, помогает предотвратить закоксовывание колец и поддерживает чистоту юбок поршней, свободных от лаковых отложений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Очистка картера и верхней части блока цилиндров — сводит к минимуму образование шлама в картере и на крышке клапанов/верхней части блока цилиндров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Совместимости с катализаторами — разработано для совместимости с системами снижения токсичности выхлопных газов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color w:val="002060"/>
          <w:sz w:val="20"/>
          <w:szCs w:val="20"/>
        </w:rPr>
      </w:pPr>
      <w:bookmarkStart w:colFirst="0" w:colLast="0" w:name="_heading=h.o04jrzyoqav1" w:id="0"/>
      <w:bookmarkEnd w:id="0"/>
      <w:r w:rsidDel="00000000" w:rsidR="00000000" w:rsidRPr="00000000">
        <w:rPr>
          <w:color w:val="002060"/>
          <w:sz w:val="20"/>
          <w:szCs w:val="20"/>
          <w:rtl w:val="0"/>
        </w:rPr>
        <w:t xml:space="preserve">ЭКСПЛУАТАЦИОННЫЕ ХАРАКТЕРИСТИКИ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37" w:lineRule="auto"/>
        <w:rPr>
          <w:color w:val="0f1115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ATLANTIC LOW ASH GAS ENGINE OIL SAE 40 произведено с применением технологии премиальных базовых масел и пакета присадок, содержащего беззольный дисперсант, ингибиторы окисления, металлосодержащие детергенты и металлосодержащую противоизносную присадку.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237" w:lineRule="auto"/>
        <w:rPr>
          <w:color w:val="0f1115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ATLANTIC LOW ASH GAS ENGINE OIL SAE 40 обеспечивает превосходную стойкость к окислению и нитрованию, что минимизирует накопление нерастворимых веществ и способствует увеличению срока службы масла и фильтра. ATLANTIC LOW ASH GAS ENGINE OIL SAE 40 обеспечивает отличную защиту от задиров и износа колец и гильз цилиндров. Масла также минимизируют усадку седел клапанов в четырехтактных двигателях, обеспечивают превосходный контроль отложений на поршнях и в зоне колец, а также эффективно предотвращают образование и накопление шлама в двигателе.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color w:val="002060"/>
          <w:sz w:val="20"/>
          <w:szCs w:val="20"/>
        </w:rPr>
      </w:pPr>
      <w:bookmarkStart w:colFirst="0" w:colLast="0" w:name="_heading=h.7cpdjiqxzech" w:id="1"/>
      <w:bookmarkEnd w:id="1"/>
      <w:r w:rsidDel="00000000" w:rsidR="00000000" w:rsidRPr="00000000">
        <w:rPr>
          <w:color w:val="002060"/>
          <w:sz w:val="20"/>
          <w:szCs w:val="20"/>
          <w:rtl w:val="0"/>
        </w:rPr>
        <w:t xml:space="preserve">ОБЛАСТЬ ПРИМЕНЕНИЯ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237" w:lineRule="auto"/>
        <w:rPr>
          <w:color w:val="0f1115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ATLANTIC LOW ASH GAS ENGINE OIL SAE 40 рекомендуется для четырехтактных и отдельных двухтактных стационарных двигателей, работающих на природном газе.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37" w:lineRule="auto"/>
        <w:rPr>
          <w:color w:val="0f1115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ATLANTIC LOW ASH GAS ENGINE OIL SAE 40 соответствует требованиям: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0" w:afterAutospacing="0" w:before="24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GE Jenbacher Types 2, Type 3, Type 4 (версии A&amp;B), Type 6 (версии C&amp;E), природный газ (Класс A)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afterAutospacing="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GE Jenbacher Types 2, Type 3, Type 4 (версии A&amp;B), Type 6 (версии C&amp;E), биогаз (Класс B)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0" w:afterAutospacing="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MAN M3271-2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afterAutospacing="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Все газовые двигатели MWM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afterAutospacing="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Rolls-Royce B35:40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afterAutospacing="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Rolls-Royce C26:33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0" w:afterAutospacing="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Rolls-Royce K-G1/G2/G3/G4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after="0" w:afterAutospacing="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Wartsila SG34, SG50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0" w:afterAutospacing="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Cummins QSK 60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spacing w:after="24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Все газовые двигатели Waukesha, работающие на газе магистрального качества.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="237" w:lineRule="auto"/>
        <w:rPr>
          <w:color w:val="0f1115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ATLANTIC LOW ASH GAS ENGINE OIL SAE 40 рекомендуется для четырехтактных газовых двигателей, произведенных: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0" w:afterAutospacing="0" w:before="24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Caterpillar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after="0" w:afterAutospacing="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Delaval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after="0" w:afterAutospacing="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Enterprise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0" w:afterAutospacing="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Dresser-Rand (Категории I, II и III)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afterAutospacing="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MWM (DEUTZ)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spacing w:after="0" w:afterAutospacing="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Superior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240" w:before="0" w:beforeAutospacing="0" w:line="237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Worthington</w:t>
      </w:r>
    </w:p>
    <w:p w:rsidR="00000000" w:rsidDel="00000000" w:rsidP="00000000" w:rsidRDefault="00000000" w:rsidRPr="00000000" w14:paraId="0000002C">
      <w:pPr>
        <w:shd w:fill="ffffff" w:val="clear"/>
        <w:spacing w:after="240" w:before="240" w:line="237" w:lineRule="auto"/>
        <w:rPr>
          <w:color w:val="0f1115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ATLANTIC LOW ASH GAS ENGINE OIL SAE 40 разработано для соответствия требованиям совместимости с катализаторами и особенно подходит для установок, требующих масла с низким содержанием фосфора для предотвращения отравления катализатора выхлопной системы.</w:t>
      </w:r>
    </w:p>
    <w:p w:rsidR="00000000" w:rsidDel="00000000" w:rsidP="00000000" w:rsidRDefault="00000000" w:rsidRPr="00000000" w14:paraId="0000002D">
      <w:pPr>
        <w:shd w:fill="ffffff" w:val="clear"/>
        <w:spacing w:after="240" w:before="240" w:line="237" w:lineRule="auto"/>
        <w:rPr>
          <w:color w:val="0f1115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ATLANTIC LOW ASH GAS ENGINE OIL SAE 40 подходит для использования с топливом, содержащим низкие уровни серы. В применениях с кислым газом может потребоваться смазочный материал с более высоким щелочным резервом, такой как ATLANTIC Low Medium Ash Gas Engine Oil SAE 40.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="237" w:lineRule="auto"/>
        <w:rPr>
          <w:color w:val="0f1115"/>
          <w:sz w:val="20"/>
          <w:szCs w:val="20"/>
        </w:rPr>
      </w:pPr>
      <w:r w:rsidDel="00000000" w:rsidR="00000000" w:rsidRPr="00000000">
        <w:rPr>
          <w:color w:val="0f1115"/>
          <w:sz w:val="20"/>
          <w:szCs w:val="20"/>
          <w:rtl w:val="0"/>
        </w:rPr>
        <w:t xml:space="preserve">Гигиена труда и техника безопасности: Основываясь на имеющейся информации, данный продукт не должен оказывать неблагоприятного воздействия на здоровье при использовании по назначению и соблюдении рекомендаций, изложенных в Паспорте безопасности материала (MSDS). Паспорта безопасности можно получить по запросу в вашем торговом представительстве или через Интернет. Данный продукт не следует использовать в целях, отличных от его прямого назначения. При утилизации использованного продукта соблюдайте меры по защите окружающей среды.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206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2060"/>
          <w:sz w:val="18"/>
          <w:szCs w:val="18"/>
          <w:u w:val="none"/>
          <w:shd w:fill="auto" w:val="clear"/>
          <w:vertAlign w:val="baseline"/>
          <w:rtl w:val="0"/>
        </w:rPr>
        <w:t xml:space="preserve">ТИПОВЫЕ ТЕХНИЧЕСКИЕ СВОЙСТВА</w:t>
      </w:r>
    </w:p>
    <w:tbl>
      <w:tblPr>
        <w:tblStyle w:val="Table1"/>
        <w:tblW w:w="10190.0" w:type="dxa"/>
        <w:jc w:val="left"/>
        <w:tblInd w:w="228.0" w:type="dxa"/>
        <w:tblBorders>
          <w:top w:color="4f81bd" w:space="0" w:sz="4" w:val="single"/>
          <w:left w:color="4f81bd" w:space="0" w:sz="4" w:val="single"/>
          <w:bottom w:color="4f81bd" w:space="0" w:sz="4" w:val="single"/>
          <w:right w:color="4f81bd" w:space="0" w:sz="4" w:val="single"/>
          <w:insideH w:color="4f81bd" w:space="0" w:sz="4" w:val="single"/>
          <w:insideV w:color="4f81bd" w:space="0" w:sz="4" w:val="single"/>
        </w:tblBorders>
        <w:tblLayout w:type="fixed"/>
        <w:tblLook w:val="0000"/>
      </w:tblPr>
      <w:tblGrid>
        <w:gridCol w:w="7418"/>
        <w:gridCol w:w="2772"/>
        <w:tblGridChange w:id="0">
          <w:tblGrid>
            <w:gridCol w:w="7418"/>
            <w:gridCol w:w="2772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4f81bd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Класс вязкости, SAE J300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4f81bd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0" w:right="93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Код продукции: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Плотность при 15⁰C, г/мл, ASTM D4052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100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44506-OL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100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0,875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Кинематическая вязкость при 40⁰C, мм²/с, ASTM D445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100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Кинематическая вязкость при 100⁰C, мм²/с, ASTM D445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100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Индекс вязкости, ASTM D2270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100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вспышки, измеренная в приборе Кливленда, °C, ASTM D92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100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07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застывания, °C, ASTM D97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  <w:shd w:fill="dbe5f1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100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07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Общее базовое число (TBN)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100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07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Сульфатированная зола, мас. %, ASTM D874 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10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0,48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07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Кислотное число, мг KOH/г, ASTM D664 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10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0,6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07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Фосфор, мас.%, ASTM D5185 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10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0,028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07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Цинк, мас.%, ASTM D5185 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10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0,034</w:t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07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Кальций, мас.%, ASTM D5185 </w:t>
            </w:r>
          </w:p>
        </w:tc>
        <w:tc>
          <w:tcPr>
            <w:tcBorders>
              <w:top w:color="95b3d7" w:space="0" w:sz="4" w:val="single"/>
              <w:left w:color="95b3d7" w:space="0" w:sz="4" w:val="single"/>
              <w:bottom w:color="95b3d7" w:space="0" w:sz="4" w:val="single"/>
              <w:right w:color="95b3d7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10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0,132</w:t>
            </w:r>
          </w:p>
        </w:tc>
      </w:tr>
    </w:tbl>
    <w:p w:rsidR="00000000" w:rsidDel="00000000" w:rsidP="00000000" w:rsidRDefault="00000000" w:rsidRPr="00000000" w14:paraId="0000004D">
      <w:pPr>
        <w:spacing w:before="19" w:line="264" w:lineRule="auto"/>
        <w:ind w:left="119" w:right="1138" w:firstLine="0"/>
        <w:jc w:val="both"/>
        <w:rPr>
          <w:sz w:val="14"/>
          <w:szCs w:val="14"/>
        </w:rPr>
      </w:pPr>
      <w:bookmarkStart w:colFirst="0" w:colLast="0" w:name="_heading=h.nafgvmury5xr" w:id="2"/>
      <w:bookmarkEnd w:id="2"/>
      <w:r w:rsidDel="00000000" w:rsidR="00000000" w:rsidRPr="00000000">
        <w:rPr>
          <w:sz w:val="16"/>
          <w:szCs w:val="16"/>
          <w:rtl w:val="0"/>
        </w:rPr>
        <w:t xml:space="preserve">Примечание: выше приведены показатели для масла, выпускаемого в текущий момент. Производимое Atlantic масло будет соответствовать заявленным требованиям и в будущем; при этом возможны отклонения от приведенных выше показателей</w:t>
      </w:r>
      <w:r w:rsidDel="00000000" w:rsidR="00000000" w:rsidRPr="00000000">
        <w:rPr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058" w:firstLine="0"/>
        <w:rPr>
          <w:rFonts w:ascii="Times New Roman" w:cs="Times New Roman" w:eastAsia="Times New Roman" w:hAnsi="Times New Roman"/>
          <w:i w:val="1"/>
          <w:iCs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4"/>
          <w:szCs w:val="14"/>
          <w:rtl w:val="0"/>
        </w:rPr>
        <w:t xml:space="preserve">ATL/PDS/AL/041/0*, 08.04.23, стр. 1/1</w:t>
      </w:r>
    </w:p>
    <w:p w:rsidR="00000000" w:rsidDel="00000000" w:rsidP="00000000" w:rsidRDefault="00000000" w:rsidRPr="00000000" w14:paraId="00000050">
      <w:pPr>
        <w:spacing w:line="184" w:lineRule="auto"/>
        <w:ind w:right="786"/>
        <w:jc w:val="right"/>
        <w:rPr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4"/>
          <w:szCs w:val="14"/>
          <w:rtl w:val="0"/>
        </w:rPr>
        <w:t xml:space="preserve">*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превосходит все предыдущие аналоги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-9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7543800" cy="635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74100" y="3776825"/>
                          <a:ext cx="7543800" cy="6350"/>
                          <a:chOff x="1574100" y="3776825"/>
                          <a:chExt cx="7543800" cy="6350"/>
                        </a:xfrm>
                      </wpg:grpSpPr>
                      <wpg:grpSp>
                        <wpg:cNvGrpSpPr/>
                        <wpg:grpSpPr>
                          <a:xfrm>
                            <a:off x="1574100" y="3776825"/>
                            <a:ext cx="7543800" cy="6350"/>
                            <a:chOff x="0" y="0"/>
                            <a:chExt cx="7543800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438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54380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543800" cy="63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100" w:right="197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8"/>
          <w:szCs w:val="18"/>
          <w:rtl w:val="0"/>
        </w:rPr>
        <w:t xml:space="preserve">Охрана труда и техника безопасности: На основании имеющейся информации, использование данного продукта по назначению и соблюдение рекомендаций, изложенных в паспорте безопасности материала (MSDS), не предположительно оказывает неблагоприятного воздействия на здоровье. Паспорта безопасности материалов (MSDS) можно получить по запросу в вашем отделе продаж или через Интернет. Данный продукт не следует использовать не по назначению. При утилизации использованного продукта необходимо соблюдать меры предосторожности для защиты окружающей среды. </w:t>
      </w:r>
    </w:p>
    <w:sectPr>
      <w:pgSz w:h="15840" w:w="12240" w:orient="portrait"/>
      <w:pgMar w:bottom="280" w:top="720" w:left="96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abrio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426" w:lineRule="auto"/>
      <w:ind w:left="120"/>
    </w:pPr>
    <w:rPr>
      <w:rFonts w:ascii="Gabriola" w:cs="Gabriola" w:eastAsia="Gabriola" w:hAnsi="Gabriola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18"/>
      <w:szCs w:val="18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ind w:left="107"/>
    </w:pPr>
  </w:style>
  <w:style w:type="character" w:styleId="fontstyle01" w:customStyle="1">
    <w:name w:val="fontstyle01"/>
    <w:basedOn w:val="a0"/>
    <w:rsid w:val="00234191"/>
    <w:rPr>
      <w:rFonts w:ascii="Gabriola" w:hAnsi="Gabriola" w:hint="default"/>
      <w:b w:val="0"/>
      <w:bCs w:val="0"/>
      <w:i w:val="0"/>
      <w:iCs w:val="0"/>
      <w:color w:val="002060"/>
      <w:sz w:val="28"/>
      <w:szCs w:val="28"/>
    </w:rPr>
  </w:style>
  <w:style w:type="character" w:styleId="a6">
    <w:name w:val="annotation reference"/>
    <w:basedOn w:val="a0"/>
    <w:uiPriority w:val="99"/>
    <w:semiHidden w:val="1"/>
    <w:unhideWhenUsed w:val="1"/>
    <w:rsid w:val="007970A9"/>
    <w:rPr>
      <w:sz w:val="16"/>
      <w:szCs w:val="16"/>
    </w:rPr>
  </w:style>
  <w:style w:type="paragraph" w:styleId="a7">
    <w:name w:val="annotation text"/>
    <w:basedOn w:val="a"/>
    <w:link w:val="a8"/>
    <w:uiPriority w:val="99"/>
    <w:semiHidden w:val="1"/>
    <w:unhideWhenUsed w:val="1"/>
    <w:rsid w:val="007970A9"/>
    <w:rPr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semiHidden w:val="1"/>
    <w:rsid w:val="007970A9"/>
    <w:rPr>
      <w:rFonts w:ascii="Cambria" w:cs="Cambria" w:eastAsia="Cambria" w:hAnsi="Cambria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 w:val="1"/>
    <w:unhideWhenUsed w:val="1"/>
    <w:rsid w:val="007970A9"/>
    <w:rPr>
      <w:b w:val="1"/>
      <w:bCs w:val="1"/>
    </w:rPr>
  </w:style>
  <w:style w:type="character" w:styleId="aa" w:customStyle="1">
    <w:name w:val="Тема примечания Знак"/>
    <w:basedOn w:val="a8"/>
    <w:link w:val="a9"/>
    <w:uiPriority w:val="99"/>
    <w:semiHidden w:val="1"/>
    <w:rsid w:val="007970A9"/>
    <w:rPr>
      <w:rFonts w:ascii="Cambria" w:cs="Cambria" w:eastAsia="Cambria" w:hAnsi="Cambria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P7fvV4w22MBAorV9rYF5oUCDQ==">CgMxLjAyDmgubzA0anJ6eW9xYXYxMg5oLjdjcGRqaXF4emVjaDIOaC5uYWZndm11cnk1eHI4AHIhMTEtU2xjZUFtX0lvdU1NZDF5QW9GXzdUTm12TTRTWl9D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2023-08-02T06:56:00Z</dcterms:created>
  <dc:creator>ahmed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2023-08-02T00:00:00Z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D:20230713005733</vt:lpwstr>
  </property>
</Properties>
</file>